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0"/>
        <w:gridCol w:w="4140"/>
        <w:gridCol w:w="4227"/>
        <w:gridCol w:w="3058"/>
      </w:tblGrid>
      <w:tr w:rsidR="00D0586B" w:rsidRPr="00C65BFB" w:rsidTr="00B52335">
        <w:tc>
          <w:tcPr>
            <w:tcW w:w="14390" w:type="dxa"/>
            <w:gridSpan w:val="5"/>
            <w:shd w:val="clear" w:color="auto" w:fill="FF000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B52335"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 xml:space="preserve">: </w:t>
            </w:r>
            <w:r w:rsidR="00B52335">
              <w:rPr>
                <w:rFonts w:cstheme="minorHAnsi"/>
                <w:b/>
              </w:rPr>
              <w:t>Select – Choose music appropriate for a specific purpose or context.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Individuals’ selection of musical works is influenced by their interests, experiences, understandings, and purposes.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individuals choose music to experience?</w:t>
            </w:r>
          </w:p>
        </w:tc>
      </w:tr>
      <w:tr w:rsidR="007D1065" w:rsidRPr="007D1065" w:rsidTr="007D1065">
        <w:tc>
          <w:tcPr>
            <w:tcW w:w="2875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7D1065" w:rsidRPr="007D1065" w:rsidRDefault="007D1065" w:rsidP="007D1065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E95B7E" w:rsidRPr="004575CD" w:rsidTr="004575CD">
        <w:trPr>
          <w:trHeight w:val="3347"/>
        </w:trPr>
        <w:tc>
          <w:tcPr>
            <w:tcW w:w="2875" w:type="dxa"/>
          </w:tcPr>
          <w:p w:rsidR="00E95B7E" w:rsidRPr="004575CD" w:rsidRDefault="004575CD" w:rsidP="007E19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E944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  <w:r w:rsidRPr="004575C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27" w:type="dxa"/>
          </w:tcPr>
          <w:p w:rsidR="00E95B7E" w:rsidRPr="004575CD" w:rsidRDefault="004575CD" w:rsidP="007E19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Analyze – Analyze how the structure and context of varied musical works inform the response.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Response to music is informed by analyzing context (social, cultural, and historical) and how creators and performers manipulate the elements of music.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does understanding the structure and context of music inform a response?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E95B7E" w:rsidRPr="004575CD" w:rsidTr="004575CD">
        <w:trPr>
          <w:trHeight w:val="3068"/>
        </w:trPr>
        <w:tc>
          <w:tcPr>
            <w:tcW w:w="2965" w:type="dxa"/>
            <w:gridSpan w:val="2"/>
          </w:tcPr>
          <w:p w:rsidR="00E95B7E" w:rsidRPr="004575CD" w:rsidRDefault="004575CD" w:rsidP="00A2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  <w:r w:rsidRPr="004575C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4482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A22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E95B7E" w:rsidRPr="004575CD" w:rsidRDefault="004575CD" w:rsidP="00A2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E95B7E" w:rsidRPr="004575CD" w:rsidRDefault="00E95B7E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4F04" w:rsidTr="00B52335">
        <w:tc>
          <w:tcPr>
            <w:tcW w:w="14390" w:type="dxa"/>
            <w:gridSpan w:val="5"/>
            <w:shd w:val="clear" w:color="auto" w:fill="FF0000"/>
          </w:tcPr>
          <w:p w:rsidR="00B52335" w:rsidRPr="005A2EC6" w:rsidRDefault="00B52335" w:rsidP="00B52335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3: Responding – Understanding and evaluating how the arts convey meaning.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Interpret – Support interpretations of musical works that reflect creators’/performers’ expressive intent.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E976F6">
        <w:tc>
          <w:tcPr>
            <w:tcW w:w="7105" w:type="dxa"/>
            <w:gridSpan w:val="3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Through their use of elements and structures of music, creators and performers provide clues to their expressive intent.</w:t>
            </w:r>
          </w:p>
        </w:tc>
        <w:tc>
          <w:tcPr>
            <w:tcW w:w="7285" w:type="dxa"/>
            <w:gridSpan w:val="2"/>
          </w:tcPr>
          <w:p w:rsidR="00C16546" w:rsidRPr="005A2EC6" w:rsidRDefault="00C16546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discern the musical creators’ and performers’ expressive intent?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E95B7E" w:rsidRPr="004575CD" w:rsidTr="00196128">
        <w:trPr>
          <w:trHeight w:val="3184"/>
        </w:trPr>
        <w:tc>
          <w:tcPr>
            <w:tcW w:w="2965" w:type="dxa"/>
            <w:gridSpan w:val="2"/>
          </w:tcPr>
          <w:p w:rsidR="00E95B7E" w:rsidRPr="004575CD" w:rsidRDefault="004575C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4575C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448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E95B7E" w:rsidRPr="004575CD" w:rsidRDefault="004575C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4F8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 xml:space="preserve">:  </w:t>
            </w:r>
            <w:r w:rsidR="00B52335">
              <w:rPr>
                <w:rFonts w:cstheme="minorHAnsi"/>
                <w:b/>
              </w:rPr>
              <w:t>Evaluate – Support evaluations of musical works and performances based on analysis, interpretation, and established criteria.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E976F6">
        <w:tc>
          <w:tcPr>
            <w:tcW w:w="7105" w:type="dxa"/>
            <w:gridSpan w:val="3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The personal evaluation of musical work(s) and performance (s) is informed by analysis, interpretation, and established criteria.</w:t>
            </w:r>
          </w:p>
        </w:tc>
        <w:tc>
          <w:tcPr>
            <w:tcW w:w="7285" w:type="dxa"/>
            <w:gridSpan w:val="2"/>
          </w:tcPr>
          <w:p w:rsidR="008454F8" w:rsidRPr="005A2EC6" w:rsidRDefault="008454F8" w:rsidP="00B52335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B52335">
              <w:rPr>
                <w:rFonts w:cstheme="minorHAnsi"/>
              </w:rPr>
              <w:t>How do we judge the quality of musical work(s) and performance(s)?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E95B7E" w:rsidRPr="004575CD" w:rsidTr="00302EFA">
        <w:trPr>
          <w:trHeight w:val="3428"/>
        </w:trPr>
        <w:tc>
          <w:tcPr>
            <w:tcW w:w="2965" w:type="dxa"/>
            <w:gridSpan w:val="2"/>
          </w:tcPr>
          <w:p w:rsidR="00E95B7E" w:rsidRPr="004575CD" w:rsidRDefault="004575C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4575CD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E95B7E" w:rsidRPr="004575CD" w:rsidRDefault="00E95B7E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E95B7E" w:rsidRPr="004575CD" w:rsidRDefault="004575CD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E95B7E" w:rsidRPr="004575CD" w:rsidRDefault="00E95B7E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02" w:rsidRDefault="00086C02" w:rsidP="00661F68">
      <w:pPr>
        <w:spacing w:after="0" w:line="240" w:lineRule="auto"/>
      </w:pPr>
      <w:r>
        <w:separator/>
      </w:r>
    </w:p>
  </w:endnote>
  <w:endnote w:type="continuationSeparator" w:id="0">
    <w:p w:rsidR="00086C02" w:rsidRDefault="00086C02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15706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4575CD" w:rsidRDefault="004575CD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575CD">
              <w:rPr>
                <w:sz w:val="16"/>
                <w:szCs w:val="16"/>
              </w:rPr>
              <w:t xml:space="preserve">Page </w:t>
            </w:r>
            <w:r w:rsidRPr="004575CD">
              <w:rPr>
                <w:b/>
                <w:bCs/>
                <w:sz w:val="16"/>
                <w:szCs w:val="16"/>
              </w:rPr>
              <w:fldChar w:fldCharType="begin"/>
            </w:r>
            <w:r w:rsidRPr="004575C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575CD">
              <w:rPr>
                <w:b/>
                <w:bCs/>
                <w:sz w:val="16"/>
                <w:szCs w:val="16"/>
              </w:rPr>
              <w:fldChar w:fldCharType="separate"/>
            </w:r>
            <w:r w:rsidR="00086C02">
              <w:rPr>
                <w:b/>
                <w:bCs/>
                <w:noProof/>
                <w:sz w:val="16"/>
                <w:szCs w:val="16"/>
              </w:rPr>
              <w:t>1</w:t>
            </w:r>
            <w:r w:rsidRPr="004575CD">
              <w:rPr>
                <w:b/>
                <w:bCs/>
                <w:sz w:val="16"/>
                <w:szCs w:val="16"/>
              </w:rPr>
              <w:fldChar w:fldCharType="end"/>
            </w:r>
            <w:r w:rsidRPr="004575CD">
              <w:rPr>
                <w:sz w:val="16"/>
                <w:szCs w:val="16"/>
              </w:rPr>
              <w:t xml:space="preserve"> of </w:t>
            </w:r>
            <w:r w:rsidRPr="004575CD">
              <w:rPr>
                <w:b/>
                <w:bCs/>
                <w:sz w:val="16"/>
                <w:szCs w:val="16"/>
              </w:rPr>
              <w:fldChar w:fldCharType="begin"/>
            </w:r>
            <w:r w:rsidRPr="004575C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575CD">
              <w:rPr>
                <w:b/>
                <w:bCs/>
                <w:sz w:val="16"/>
                <w:szCs w:val="16"/>
              </w:rPr>
              <w:fldChar w:fldCharType="separate"/>
            </w:r>
            <w:r w:rsidR="00086C02">
              <w:rPr>
                <w:b/>
                <w:bCs/>
                <w:noProof/>
                <w:sz w:val="16"/>
                <w:szCs w:val="16"/>
              </w:rPr>
              <w:t>1</w:t>
            </w:r>
            <w:r w:rsidRPr="004575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575CD" w:rsidRDefault="0045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02" w:rsidRDefault="00086C02" w:rsidP="00661F68">
      <w:pPr>
        <w:spacing w:after="0" w:line="240" w:lineRule="auto"/>
      </w:pPr>
      <w:r>
        <w:separator/>
      </w:r>
    </w:p>
  </w:footnote>
  <w:footnote w:type="continuationSeparator" w:id="0">
    <w:p w:rsidR="00086C02" w:rsidRDefault="00086C02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4575CD">
      <w:rPr>
        <w:b/>
      </w:rPr>
      <w:t xml:space="preserve"> - Moderate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86C02"/>
    <w:rsid w:val="000C2DD2"/>
    <w:rsid w:val="002A138F"/>
    <w:rsid w:val="00304A6F"/>
    <w:rsid w:val="00397FC3"/>
    <w:rsid w:val="003D5BC5"/>
    <w:rsid w:val="004575CD"/>
    <w:rsid w:val="004E1EBB"/>
    <w:rsid w:val="005518E5"/>
    <w:rsid w:val="00584B3B"/>
    <w:rsid w:val="005A2EC6"/>
    <w:rsid w:val="00661F68"/>
    <w:rsid w:val="007D1065"/>
    <w:rsid w:val="008454F8"/>
    <w:rsid w:val="008948AD"/>
    <w:rsid w:val="008B28A8"/>
    <w:rsid w:val="00943119"/>
    <w:rsid w:val="00943216"/>
    <w:rsid w:val="00A227F6"/>
    <w:rsid w:val="00B322F7"/>
    <w:rsid w:val="00B52335"/>
    <w:rsid w:val="00C15875"/>
    <w:rsid w:val="00C16546"/>
    <w:rsid w:val="00C1715B"/>
    <w:rsid w:val="00C860CE"/>
    <w:rsid w:val="00C94F04"/>
    <w:rsid w:val="00CD2338"/>
    <w:rsid w:val="00D0586B"/>
    <w:rsid w:val="00D06094"/>
    <w:rsid w:val="00E94482"/>
    <w:rsid w:val="00E95B7E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F510E-09B3-45B7-9F82-4770100F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5</cp:revision>
  <dcterms:created xsi:type="dcterms:W3CDTF">2016-01-29T23:07:00Z</dcterms:created>
  <dcterms:modified xsi:type="dcterms:W3CDTF">2016-02-22T16:03:00Z</dcterms:modified>
</cp:coreProperties>
</file>